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206DC" w:rsidRDefault="008206DC" w:rsidP="00B31421">
      <w:pPr>
        <w:spacing w:line="360" w:lineRule="auto"/>
        <w:ind w:right="-240"/>
        <w:rPr>
          <w:b/>
          <w:caps/>
        </w:rPr>
      </w:pPr>
    </w:p>
    <w:p w:rsidR="008206DC" w:rsidRDefault="008206DC" w:rsidP="00B31421">
      <w:pPr>
        <w:spacing w:line="360" w:lineRule="auto"/>
        <w:ind w:right="-240"/>
        <w:rPr>
          <w:b/>
          <w:caps/>
        </w:rPr>
      </w:pPr>
    </w:p>
    <w:p w:rsidR="008206DC" w:rsidRDefault="008206DC" w:rsidP="008206DC">
      <w:pPr>
        <w:spacing w:line="360" w:lineRule="auto"/>
        <w:ind w:left="-567" w:right="-240"/>
        <w:rPr>
          <w:b/>
          <w:caps/>
        </w:rPr>
      </w:pPr>
    </w:p>
    <w:p w:rsidR="0013240B" w:rsidRPr="00144095" w:rsidRDefault="00055231" w:rsidP="008206DC">
      <w:pPr>
        <w:spacing w:line="360" w:lineRule="auto"/>
        <w:ind w:left="-567" w:right="-240"/>
        <w:rPr>
          <w:b/>
          <w:bCs/>
        </w:rPr>
      </w:pPr>
      <w:r>
        <w:rPr>
          <w:b/>
          <w:bCs/>
        </w:rPr>
        <w:t>Table S1</w:t>
      </w:r>
      <w:r w:rsidR="0013240B" w:rsidRPr="00144095">
        <w:rPr>
          <w:b/>
          <w:bCs/>
        </w:rPr>
        <w:t xml:space="preserve">. Multiple types of fluorescence increase with death in </w:t>
      </w:r>
      <w:r w:rsidR="0013240B" w:rsidRPr="00144095">
        <w:rPr>
          <w:b/>
          <w:bCs/>
          <w:i/>
          <w:iCs/>
        </w:rPr>
        <w:t>C. elegans</w:t>
      </w:r>
      <w:r w:rsidR="0013240B" w:rsidRPr="00144095">
        <w:rPr>
          <w:bCs/>
          <w:i/>
          <w:iCs/>
        </w:rPr>
        <w:t xml:space="preserve"> </w:t>
      </w:r>
      <w:r w:rsidR="0013240B" w:rsidRPr="00144095">
        <w:rPr>
          <w:bCs/>
          <w:iCs/>
        </w:rPr>
        <w:t>(c.f.</w:t>
      </w:r>
      <w:r w:rsidR="0013240B" w:rsidRPr="00144095">
        <w:rPr>
          <w:bCs/>
          <w:i/>
          <w:iCs/>
        </w:rPr>
        <w:t xml:space="preserve"> </w:t>
      </w:r>
      <w:r w:rsidR="0013240B" w:rsidRPr="00144095">
        <w:rPr>
          <w:bCs/>
        </w:rPr>
        <w:t xml:space="preserve">Figure </w:t>
      </w:r>
      <w:r w:rsidR="00603E27">
        <w:rPr>
          <w:bCs/>
        </w:rPr>
        <w:t>S5</w:t>
      </w:r>
      <w:r w:rsidR="0013240B" w:rsidRPr="00144095">
        <w:rPr>
          <w:bCs/>
        </w:rPr>
        <w:t>).</w:t>
      </w:r>
    </w:p>
    <w:tbl>
      <w:tblPr>
        <w:tblW w:w="0" w:type="auto"/>
        <w:tblInd w:w="-318" w:type="dxa"/>
        <w:tblLook w:val="00BF"/>
      </w:tblPr>
      <w:tblGrid>
        <w:gridCol w:w="5253"/>
        <w:gridCol w:w="1447"/>
        <w:gridCol w:w="1369"/>
        <w:gridCol w:w="1297"/>
      </w:tblGrid>
      <w:tr w:rsidR="0013240B" w:rsidRPr="00144095" w:rsidTr="008206DC">
        <w:trPr>
          <w:trHeight w:val="266"/>
        </w:trPr>
        <w:tc>
          <w:tcPr>
            <w:tcW w:w="5253" w:type="dxa"/>
            <w:vAlign w:val="center"/>
          </w:tcPr>
          <w:p w:rsidR="0013240B" w:rsidRPr="00144095" w:rsidRDefault="0013240B" w:rsidP="008206DC">
            <w:pPr>
              <w:ind w:left="-567"/>
              <w:jc w:val="center"/>
              <w:rPr>
                <w:b/>
              </w:rPr>
            </w:pPr>
            <w:bookmarkStart w:id="0" w:name="OLE_LINK1"/>
            <w:r w:rsidRPr="00144095">
              <w:rPr>
                <w:b/>
              </w:rPr>
              <w:t xml:space="preserve">Student’s </w:t>
            </w:r>
            <w:r w:rsidRPr="00144095">
              <w:rPr>
                <w:b/>
                <w:i/>
              </w:rPr>
              <w:t>t</w:t>
            </w:r>
            <w:r w:rsidRPr="00144095">
              <w:rPr>
                <w:b/>
              </w:rPr>
              <w:t xml:space="preserve"> test </w:t>
            </w:r>
            <w:r w:rsidRPr="00144095">
              <w:rPr>
                <w:b/>
                <w:i/>
              </w:rPr>
              <w:t xml:space="preserve">p </w:t>
            </w:r>
            <w:r w:rsidRPr="00144095">
              <w:rPr>
                <w:b/>
              </w:rPr>
              <w:t>value</w:t>
            </w:r>
          </w:p>
        </w:tc>
        <w:tc>
          <w:tcPr>
            <w:tcW w:w="1447" w:type="dxa"/>
            <w:vAlign w:val="center"/>
          </w:tcPr>
          <w:p w:rsidR="0013240B" w:rsidRPr="00987975" w:rsidRDefault="008206DC" w:rsidP="008206DC">
            <w:pPr>
              <w:ind w:left="-567"/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13240B" w:rsidRPr="00987975">
              <w:rPr>
                <w:b/>
              </w:rPr>
              <w:t>Blue</w:t>
            </w:r>
          </w:p>
        </w:tc>
        <w:tc>
          <w:tcPr>
            <w:tcW w:w="1369" w:type="dxa"/>
            <w:vAlign w:val="center"/>
          </w:tcPr>
          <w:p w:rsidR="0013240B" w:rsidRPr="00987975" w:rsidRDefault="008206DC" w:rsidP="008206DC">
            <w:pPr>
              <w:ind w:left="-567"/>
              <w:jc w:val="center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13240B" w:rsidRPr="00987975">
              <w:rPr>
                <w:b/>
              </w:rPr>
              <w:t>Green</w:t>
            </w:r>
          </w:p>
        </w:tc>
        <w:tc>
          <w:tcPr>
            <w:tcW w:w="1297" w:type="dxa"/>
            <w:vAlign w:val="center"/>
          </w:tcPr>
          <w:p w:rsidR="0013240B" w:rsidRPr="00987975" w:rsidRDefault="008206DC" w:rsidP="008206DC">
            <w:pPr>
              <w:ind w:left="-567"/>
              <w:jc w:val="center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13240B" w:rsidRPr="00987975">
              <w:rPr>
                <w:b/>
              </w:rPr>
              <w:t>Red</w:t>
            </w:r>
          </w:p>
        </w:tc>
      </w:tr>
      <w:tr w:rsidR="0013240B" w:rsidRPr="00144095" w:rsidTr="008206DC">
        <w:trPr>
          <w:trHeight w:val="513"/>
        </w:trPr>
        <w:tc>
          <w:tcPr>
            <w:tcW w:w="5253" w:type="dxa"/>
            <w:vAlign w:val="center"/>
          </w:tcPr>
          <w:p w:rsidR="0013240B" w:rsidRPr="00144095" w:rsidRDefault="0013240B" w:rsidP="008206DC">
            <w:pPr>
              <w:ind w:left="33"/>
              <w:jc w:val="center"/>
            </w:pPr>
            <w:r w:rsidRPr="00144095">
              <w:t>Is the pre-death slope significantly greater than 0?</w:t>
            </w:r>
          </w:p>
        </w:tc>
        <w:tc>
          <w:tcPr>
            <w:tcW w:w="1447" w:type="dxa"/>
            <w:vAlign w:val="center"/>
          </w:tcPr>
          <w:p w:rsidR="0013240B" w:rsidRPr="00144095" w:rsidRDefault="0013240B" w:rsidP="008206DC">
            <w:pPr>
              <w:jc w:val="center"/>
            </w:pPr>
            <w:r w:rsidRPr="00144095">
              <w:t>0.0768</w:t>
            </w:r>
          </w:p>
        </w:tc>
        <w:tc>
          <w:tcPr>
            <w:tcW w:w="1369" w:type="dxa"/>
            <w:vAlign w:val="center"/>
          </w:tcPr>
          <w:p w:rsidR="0013240B" w:rsidRPr="00144095" w:rsidRDefault="0013240B" w:rsidP="008206DC">
            <w:pPr>
              <w:ind w:left="-3"/>
              <w:jc w:val="center"/>
            </w:pPr>
            <w:r w:rsidRPr="00144095">
              <w:t>2.86e-14</w:t>
            </w:r>
          </w:p>
        </w:tc>
        <w:tc>
          <w:tcPr>
            <w:tcW w:w="1297" w:type="dxa"/>
            <w:vAlign w:val="center"/>
          </w:tcPr>
          <w:p w:rsidR="0013240B" w:rsidRPr="00144095" w:rsidRDefault="0013240B" w:rsidP="008206DC">
            <w:pPr>
              <w:jc w:val="center"/>
            </w:pPr>
            <w:r w:rsidRPr="00144095">
              <w:t>2.35e-27</w:t>
            </w:r>
          </w:p>
        </w:tc>
      </w:tr>
      <w:tr w:rsidR="0013240B" w:rsidRPr="00144095" w:rsidTr="008206DC">
        <w:trPr>
          <w:trHeight w:val="732"/>
        </w:trPr>
        <w:tc>
          <w:tcPr>
            <w:tcW w:w="5253" w:type="dxa"/>
            <w:vAlign w:val="center"/>
          </w:tcPr>
          <w:p w:rsidR="0013240B" w:rsidRPr="00144095" w:rsidRDefault="0013240B" w:rsidP="008206DC">
            <w:pPr>
              <w:ind w:left="33"/>
              <w:jc w:val="center"/>
            </w:pPr>
            <w:r w:rsidRPr="00144095">
              <w:t>Do the pre-death and post-death slopes differ significantly?</w:t>
            </w:r>
          </w:p>
        </w:tc>
        <w:tc>
          <w:tcPr>
            <w:tcW w:w="1447" w:type="dxa"/>
            <w:vAlign w:val="center"/>
          </w:tcPr>
          <w:p w:rsidR="0013240B" w:rsidRPr="00144095" w:rsidRDefault="0013240B" w:rsidP="008206DC">
            <w:pPr>
              <w:jc w:val="center"/>
            </w:pPr>
            <w:r w:rsidRPr="00144095">
              <w:t>5.93e-12</w:t>
            </w:r>
          </w:p>
        </w:tc>
        <w:tc>
          <w:tcPr>
            <w:tcW w:w="1369" w:type="dxa"/>
            <w:vAlign w:val="center"/>
          </w:tcPr>
          <w:p w:rsidR="0013240B" w:rsidRPr="00144095" w:rsidRDefault="0013240B" w:rsidP="008206DC">
            <w:pPr>
              <w:ind w:left="-3"/>
              <w:jc w:val="center"/>
            </w:pPr>
            <w:r w:rsidRPr="00144095">
              <w:t>5.94e-13</w:t>
            </w:r>
          </w:p>
        </w:tc>
        <w:tc>
          <w:tcPr>
            <w:tcW w:w="1297" w:type="dxa"/>
            <w:vAlign w:val="center"/>
          </w:tcPr>
          <w:p w:rsidR="0013240B" w:rsidRPr="00144095" w:rsidRDefault="0013240B" w:rsidP="008206DC">
            <w:pPr>
              <w:jc w:val="center"/>
            </w:pPr>
            <w:r w:rsidRPr="00144095">
              <w:t>1.56e-06</w:t>
            </w:r>
          </w:p>
        </w:tc>
      </w:tr>
      <w:tr w:rsidR="0013240B" w:rsidRPr="00144095" w:rsidTr="008206DC">
        <w:trPr>
          <w:trHeight w:val="696"/>
        </w:trPr>
        <w:tc>
          <w:tcPr>
            <w:tcW w:w="5253" w:type="dxa"/>
            <w:vAlign w:val="center"/>
          </w:tcPr>
          <w:p w:rsidR="0013240B" w:rsidRPr="00144095" w:rsidRDefault="0013240B" w:rsidP="008206DC">
            <w:pPr>
              <w:ind w:left="33"/>
              <w:jc w:val="center"/>
            </w:pPr>
            <w:r w:rsidRPr="00144095">
              <w:t>Is the maximum pre-death fluorescence intensity significantly different from the peak death fluorescence intensity?</w:t>
            </w:r>
          </w:p>
        </w:tc>
        <w:tc>
          <w:tcPr>
            <w:tcW w:w="1447" w:type="dxa"/>
            <w:vAlign w:val="center"/>
          </w:tcPr>
          <w:p w:rsidR="0013240B" w:rsidRPr="00144095" w:rsidRDefault="0013240B" w:rsidP="008206DC">
            <w:pPr>
              <w:jc w:val="center"/>
            </w:pPr>
            <w:r w:rsidRPr="00144095">
              <w:t>1.02e-13</w:t>
            </w:r>
          </w:p>
        </w:tc>
        <w:tc>
          <w:tcPr>
            <w:tcW w:w="1369" w:type="dxa"/>
            <w:vAlign w:val="center"/>
          </w:tcPr>
          <w:p w:rsidR="0013240B" w:rsidRPr="00144095" w:rsidRDefault="0013240B" w:rsidP="008206DC">
            <w:pPr>
              <w:ind w:left="-3"/>
              <w:jc w:val="center"/>
            </w:pPr>
            <w:r w:rsidRPr="00144095">
              <w:t>3.36e-19</w:t>
            </w:r>
          </w:p>
        </w:tc>
        <w:tc>
          <w:tcPr>
            <w:tcW w:w="1297" w:type="dxa"/>
            <w:vAlign w:val="center"/>
          </w:tcPr>
          <w:p w:rsidR="0013240B" w:rsidRPr="00144095" w:rsidRDefault="0013240B" w:rsidP="008206DC">
            <w:pPr>
              <w:jc w:val="center"/>
            </w:pPr>
            <w:r w:rsidRPr="00144095">
              <w:t>1.82e-16</w:t>
            </w:r>
          </w:p>
        </w:tc>
      </w:tr>
      <w:bookmarkEnd w:id="0"/>
    </w:tbl>
    <w:p w:rsidR="00A103EF" w:rsidRDefault="00A103EF" w:rsidP="008206DC">
      <w:pPr>
        <w:spacing w:line="360" w:lineRule="auto"/>
        <w:ind w:left="-567"/>
        <w:jc w:val="both"/>
      </w:pPr>
    </w:p>
    <w:p w:rsidR="008206DC" w:rsidRPr="00A103EF" w:rsidRDefault="00A103EF" w:rsidP="008206DC">
      <w:pPr>
        <w:spacing w:line="360" w:lineRule="auto"/>
        <w:ind w:left="-567"/>
        <w:jc w:val="both"/>
        <w:rPr>
          <w:rFonts w:ascii="Times" w:hAnsi="Times"/>
          <w:b/>
          <w:lang w:eastAsia="de-DE"/>
        </w:rPr>
      </w:pPr>
      <w:r w:rsidRPr="00A103EF">
        <w:t>Table shows that both green and red fluorescence increase significantly with age, but blue fluorescence does not. Table also shows a significant increase in all types of fluorescence at death, with peak death fluorescence significantly higher than at any time seen during life.</w:t>
      </w:r>
    </w:p>
    <w:p w:rsidR="00B31421" w:rsidRPr="00A103EF" w:rsidRDefault="00B31421" w:rsidP="000A402B">
      <w:pPr>
        <w:spacing w:line="360" w:lineRule="auto"/>
        <w:jc w:val="both"/>
        <w:rPr>
          <w:rFonts w:ascii="Times" w:hAnsi="Times"/>
          <w:b/>
          <w:lang w:eastAsia="de-DE"/>
        </w:rPr>
      </w:pPr>
    </w:p>
    <w:sectPr w:rsidR="00B31421" w:rsidRPr="00A103EF" w:rsidSect="00B31421">
      <w:pgSz w:w="11900" w:h="16840"/>
      <w:pgMar w:top="1440" w:right="1268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no Pro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405BFD"/>
    <w:multiLevelType w:val="hybridMultilevel"/>
    <w:tmpl w:val="23D29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6556"/>
    <w:multiLevelType w:val="hybridMultilevel"/>
    <w:tmpl w:val="30BAD688"/>
    <w:lvl w:ilvl="0" w:tplc="C7EC2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270D18"/>
    <w:multiLevelType w:val="hybridMultilevel"/>
    <w:tmpl w:val="1A20B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D4161"/>
    <w:multiLevelType w:val="hybridMultilevel"/>
    <w:tmpl w:val="E66C7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3240B"/>
    <w:rsid w:val="00055231"/>
    <w:rsid w:val="000A402B"/>
    <w:rsid w:val="0013240B"/>
    <w:rsid w:val="001F5461"/>
    <w:rsid w:val="00385F5A"/>
    <w:rsid w:val="003F0112"/>
    <w:rsid w:val="004952EA"/>
    <w:rsid w:val="00561A8D"/>
    <w:rsid w:val="005D2395"/>
    <w:rsid w:val="00603E27"/>
    <w:rsid w:val="007228B3"/>
    <w:rsid w:val="00770027"/>
    <w:rsid w:val="00792224"/>
    <w:rsid w:val="008206DC"/>
    <w:rsid w:val="008D00FA"/>
    <w:rsid w:val="00987975"/>
    <w:rsid w:val="00990235"/>
    <w:rsid w:val="009C6C39"/>
    <w:rsid w:val="00A103EF"/>
    <w:rsid w:val="00B020C7"/>
    <w:rsid w:val="00B31421"/>
    <w:rsid w:val="00B80573"/>
    <w:rsid w:val="00BD554F"/>
    <w:rsid w:val="00D40D7E"/>
    <w:rsid w:val="00D60A61"/>
    <w:rsid w:val="00DD15D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144C9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240B"/>
    <w:pPr>
      <w:keepNext/>
      <w:keepLines/>
      <w:spacing w:before="480" w:after="0" w:line="276" w:lineRule="auto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3240B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rsid w:val="0013240B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3240B"/>
    <w:pPr>
      <w:spacing w:after="0"/>
    </w:pPr>
    <w:rPr>
      <w:rFonts w:eastAsia="Times New Roman" w:cs="Times New Roman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240B"/>
    <w:rPr>
      <w:rFonts w:ascii="Times New Roman" w:eastAsia="Times New Roman" w:hAnsi="Times New Roman" w:cs="Times New Roman"/>
      <w:lang w:val="en-GB"/>
    </w:rPr>
  </w:style>
  <w:style w:type="character" w:styleId="PageNumber">
    <w:name w:val="page number"/>
    <w:basedOn w:val="DefaultParagraphFont"/>
    <w:rsid w:val="0013240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3240B"/>
    <w:pPr>
      <w:tabs>
        <w:tab w:val="center" w:pos="4320"/>
        <w:tab w:val="right" w:pos="8640"/>
      </w:tabs>
      <w:spacing w:after="0"/>
    </w:pPr>
    <w:rPr>
      <w:rFonts w:eastAsia="Times New Roman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3240B"/>
    <w:rPr>
      <w:rFonts w:ascii="Times New Roman" w:eastAsia="Times New Roman" w:hAnsi="Times New Roman" w:cs="Times New Roman"/>
      <w:lang w:val="en-GB"/>
    </w:rPr>
  </w:style>
  <w:style w:type="paragraph" w:styleId="HTMLPreformatted">
    <w:name w:val="HTML Preformatted"/>
    <w:basedOn w:val="Normal"/>
    <w:link w:val="HTMLPreformattedChar"/>
    <w:uiPriority w:val="99"/>
    <w:rsid w:val="00132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eastAsia="Times New Roman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240B"/>
    <w:rPr>
      <w:rFonts w:ascii="Courier" w:eastAsia="Times New Roman" w:hAnsi="Courier" w:cs="Courier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13240B"/>
    <w:pPr>
      <w:tabs>
        <w:tab w:val="center" w:pos="4320"/>
        <w:tab w:val="right" w:pos="8640"/>
      </w:tabs>
      <w:spacing w:after="0"/>
    </w:pPr>
    <w:rPr>
      <w:rFonts w:eastAsia="Times New Roman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3240B"/>
    <w:rPr>
      <w:rFonts w:ascii="Times New Roman" w:eastAsia="Times New Roman" w:hAnsi="Times New Roman" w:cs="Times New Roman"/>
      <w:lang w:val="en-GB"/>
    </w:rPr>
  </w:style>
  <w:style w:type="character" w:styleId="HTMLCite">
    <w:name w:val="HTML Cite"/>
    <w:basedOn w:val="DefaultParagraphFont"/>
    <w:uiPriority w:val="99"/>
    <w:rsid w:val="0013240B"/>
    <w:rPr>
      <w:rFonts w:cs="Times New Roman"/>
      <w:i/>
    </w:rPr>
  </w:style>
  <w:style w:type="character" w:styleId="Hyperlink">
    <w:name w:val="Hyperlink"/>
    <w:basedOn w:val="DefaultParagraphFont"/>
    <w:rsid w:val="0013240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3240B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13240B"/>
    <w:pPr>
      <w:spacing w:line="276" w:lineRule="auto"/>
      <w:ind w:left="720"/>
      <w:contextualSpacing/>
    </w:pPr>
    <w:rPr>
      <w:rFonts w:ascii="Cambria" w:eastAsia="Times New Roman" w:hAnsi="Cambria" w:cs="Times New Roman"/>
      <w:sz w:val="22"/>
      <w:szCs w:val="22"/>
    </w:rPr>
  </w:style>
  <w:style w:type="paragraph" w:customStyle="1" w:styleId="TFReferencesSection">
    <w:name w:val="TF_References_Section"/>
    <w:basedOn w:val="Normal"/>
    <w:next w:val="Normal"/>
    <w:uiPriority w:val="99"/>
    <w:rsid w:val="0013240B"/>
    <w:pPr>
      <w:spacing w:after="0"/>
      <w:ind w:firstLine="187"/>
      <w:jc w:val="both"/>
    </w:pPr>
    <w:rPr>
      <w:rFonts w:ascii="Arno Pro" w:eastAsia="Times New Roman" w:hAnsi="Arno Pro" w:cs="Times New Roman"/>
      <w:kern w:val="19"/>
      <w:sz w:val="17"/>
      <w:szCs w:val="14"/>
    </w:rPr>
  </w:style>
  <w:style w:type="paragraph" w:customStyle="1" w:styleId="arial">
    <w:name w:val="arial"/>
    <w:basedOn w:val="EndnoteText"/>
    <w:uiPriority w:val="99"/>
    <w:rsid w:val="0013240B"/>
    <w:pPr>
      <w:spacing w:line="360" w:lineRule="auto"/>
    </w:pPr>
  </w:style>
  <w:style w:type="paragraph" w:customStyle="1" w:styleId="TAMainText">
    <w:name w:val="TA_Main_Text"/>
    <w:basedOn w:val="Normal"/>
    <w:rsid w:val="0013240B"/>
    <w:pPr>
      <w:spacing w:after="0" w:line="360" w:lineRule="auto"/>
    </w:pPr>
    <w:rPr>
      <w:rFonts w:ascii="Arial" w:eastAsia="Times New Roman" w:hAnsi="Arial" w:cs="Times New Roman"/>
      <w:i/>
      <w:kern w:val="21"/>
    </w:rPr>
  </w:style>
  <w:style w:type="character" w:customStyle="1" w:styleId="v">
    <w:name w:val="v"/>
    <w:basedOn w:val="DefaultParagraphFont"/>
    <w:rsid w:val="0013240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3240B"/>
    <w:pPr>
      <w:spacing w:after="0"/>
    </w:pPr>
    <w:rPr>
      <w:rFonts w:ascii="Lucida Grande" w:eastAsia="Times New Roman" w:hAnsi="Lucida Grande" w:cs="Times New Roman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40B"/>
    <w:rPr>
      <w:rFonts w:ascii="Lucida Grande" w:eastAsia="Times New Roman" w:hAnsi="Lucida Grande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13240B"/>
    <w:rPr>
      <w:rFonts w:cs="Times New Roman"/>
      <w:sz w:val="18"/>
    </w:rPr>
  </w:style>
  <w:style w:type="paragraph" w:styleId="CommentText">
    <w:name w:val="annotation text"/>
    <w:basedOn w:val="Normal"/>
    <w:link w:val="CommentTextChar"/>
    <w:rsid w:val="0013240B"/>
    <w:pPr>
      <w:spacing w:after="0"/>
    </w:pPr>
    <w:rPr>
      <w:rFonts w:eastAsia="Times New Roman" w:cs="Times New Roman"/>
      <w:lang w:val="en-GB"/>
    </w:rPr>
  </w:style>
  <w:style w:type="character" w:customStyle="1" w:styleId="CommentTextChar">
    <w:name w:val="Comment Text Char"/>
    <w:basedOn w:val="DefaultParagraphFont"/>
    <w:link w:val="CommentText"/>
    <w:rsid w:val="0013240B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324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3240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3240B"/>
    <w:pPr>
      <w:spacing w:after="0"/>
    </w:pPr>
    <w:rPr>
      <w:rFonts w:ascii="Cambria" w:eastAsia="Cambria" w:hAnsi="Cambr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454</Words>
  <Characters>2592</Characters>
  <Application>Microsoft Word 12.1.0</Application>
  <DocSecurity>0</DocSecurity>
  <Lines>21</Lines>
  <Paragraphs>5</Paragraphs>
  <ScaleCrop>false</ScaleCrop>
  <Company>Ripmore Alumimium Company</Company>
  <LinksUpToDate>false</LinksUpToDate>
  <CharactersWithSpaces>3183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Coburn</dc:creator>
  <cp:keywords/>
  <cp:lastModifiedBy>David Gems</cp:lastModifiedBy>
  <cp:revision>14</cp:revision>
  <cp:lastPrinted>2013-03-07T15:20:00Z</cp:lastPrinted>
  <dcterms:created xsi:type="dcterms:W3CDTF">2012-10-09T10:31:00Z</dcterms:created>
  <dcterms:modified xsi:type="dcterms:W3CDTF">2013-05-29T13:50:00Z</dcterms:modified>
</cp:coreProperties>
</file>